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pStyle w:val="BodyText"/>
        <w:keepNext w:val="0"/>
        <w:keepLines w:val="0"/>
        <w:pageBreakBefore w:val="0"/>
        <w:widowControl w:val="0"/>
        <w:spacing w:before="0" w:after="0" w:line="580" w:lineRule="exact"/>
        <w:jc w:val="both"/>
        <w:rPr/>
      </w:pPr>
      <w:r>
        <w:t xml:space="preserve"/>
      </w:r>
    </w:p>
    <w:p>
      <w:pPr>
        <w:pStyle w:val="BodyText"/>
        <w:keepNext w:val="0"/>
        <w:keepLines w:val="0"/>
        <w:pageBreakBefore w:val="0"/>
        <w:widowControl w:val="0"/>
        <w:spacing w:before="0" w:after="0" w:line="580" w:lineRule="exact"/>
        <w:jc w:val="both"/>
        <w:rPr/>
      </w:pPr>
      <w:r>
        <w:t xml:space="preserve"/>
      </w:r>
    </w:p>
    <w:p>
      <w:pPr>
        <w:pStyle w:val="PaperTitle"/>
        <w:keepNext w:val="0"/>
        <w:keepLines w:val="0"/>
        <w:pageBreakBefore w:val="0"/>
        <w:widowControl w:val="0"/>
        <w:spacing w:before="0" w:after="0" w:line="579" w:lineRule="exact"/>
        <w:jc w:val="center"/>
        <w:rPr>
          <w:b/>
        </w:rPr>
      </w:pPr>
      <w:r>
        <w:rPr>
          <w:rFonts w:ascii="宋体" w:hAnsi="宋体" w:eastAsia="宋体"/>
          <w:b w:val="1"/>
          <w:sz w:val="44"/>
          <w:szCs w:val="44"/>
        </w:rPr>
        <w:t xml:space="preserve">儿童视角下中班二十四节气项目式活动的设计与实施</w:t>
      </w:r>
    </w:p>
    <w:p>
      <w:pPr>
        <w:pStyle w:val="PaperTitle"/>
        <w:keepNext w:val="0"/>
        <w:keepLines w:val="0"/>
        <w:pageBreakBefore w:val="0"/>
        <w:widowControl w:val="0"/>
        <w:spacing w:before="0" w:after="0" w:line="579" w:lineRule="exact"/>
        <w:jc w:val="center"/>
        <w:rPr>
          <w:b/>
        </w:rPr>
      </w:pPr>
      <w:r>
        <w:rPr>
          <w:rFonts w:ascii="宋体" w:hAnsi="宋体" w:eastAsia="宋体"/>
          <w:b w:val="1"/>
          <w:sz w:val="44"/>
          <w:szCs w:val="44"/>
        </w:rPr>
        <w:t xml:space="preserve">——以“清明”“冬至”为例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580" w:lineRule="exact"/>
        <w:jc w:val="both"/>
        <w:rPr/>
      </w:pPr>
      <w:r>
        <w:t xml:space="preserve"/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jc w:val="center"/>
        <w:rPr/>
      </w:pPr>
      <w:r>
        <w:rPr>
          <w:b w:val="0"/>
        </w:rPr>
        <w:t xml:space="preserve">敦化市第五幼儿园　孙艳丽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580" w:lineRule="exact"/>
        <w:jc w:val="both"/>
        <w:rPr/>
      </w:pPr>
      <w:r>
        <w:t xml:space="preserve"/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jc w:val="center"/>
        <w:rPr/>
      </w:pPr>
      <w:r>
        <w:rPr>
          <w:b w:val="0"/>
        </w:rPr>
        <w:t xml:space="preserve">摘　要：二十四节气蕴含丰富的自然、生活与文化教育资源，但幼儿园实践中仍存在知识讲解多、儿童参与浅、活动碎片化等问题。研究立足儿童视角，提出“倾听—共构—探究—表达—复盘”的中班节气项目式活动设计框架，并以“清明：春日变化小侦探”和“冬至：白天变长的秘密”为例，说明如何从幼儿真实生活经验中生成问题，以低结构材料支持持续探究，以多元表达促进经验整合，以过程性证据开展发展性评价。实践设计表明，节气项目活动只有把儿童的问题、选择和解释置于课程中心，并与地域物候、家庭生活建立联系，才能实现文化传承与幼儿主动发展的统一。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关键词：儿童视角；二十四节气；项目式活动；中班；幼儿园课程</w:t>
      </w:r>
    </w:p>
    <w:p>
      <w:pPr>
        <w:pStyle w:val="Heading1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黑体" w:hAnsi="黑体" w:eastAsia="黑体"/>
        </w:rPr>
        <w:t xml:space="preserve">一、问题提出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二十四节气是中华优秀传统文化的重要组成部分，也是幼儿观察自然节律、理解生活经验的课程资源。2017年，中共中央办公厅、国务院办公厅印发《关于实施中华优秀传统文化传承发展工程的意见》，强调加强对传统节气等文化内容的研究阐释和动态利用。对幼儿园而言，节气教育不应停留在认识名称、背诵儿歌或完成手工，而应帮助幼儿在真实生活中发现自然变化，在持续探究中形成经验，在文化体验中萌发认同。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从已有研究看，二十四节气融入幼儿园课程的成果逐渐增多。郑爽提出将劳动教育与节气知识结合，通过环境创设、生活实践等方式促进幼儿参与；唐军关注节气主题园本课程的开发路径；裴周彬强调借助《四季歌》等载体引导幼儿走进自然和生活。这些研究为节气课程提供了有益启示，但一线实践中仍常见三种偏向：一是成人预设内容过多，活动由教师讲、幼儿听；二是活动停留在单次节日体验，缺少连续观察和问题推进；三是对地域差异关注不足，直接套用其他地区的物候与习俗资源。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儿童视角强调教师看见、理解和回应儿童的需要、意图与行动，把幼儿视为有能力的意义建构者。项目式活动则以真实问题为驱动，以持续探究和成果表达为基本路径。将二者结合，有助于把节气文化从外部知识转化为幼儿可感知、可行动、可解释的经验。本文据此讨论中班节气项目活动的设计原则与实施策略，并以清明、冬至活动为例加以说明。</w:t>
      </w:r>
    </w:p>
    <w:p>
      <w:pPr>
        <w:pStyle w:val="Heading1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黑体" w:hAnsi="黑体" w:eastAsia="黑体"/>
        </w:rPr>
        <w:t xml:space="preserve">二、儿童视角下节气项目式活动的价值定位</w:t>
      </w:r>
    </w:p>
    <w:p>
      <w:pPr>
        <w:pStyle w:val="Heading2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楷体_GB2312" w:hAnsi="楷体_GB2312" w:eastAsia="楷体_GB2312"/>
        </w:rPr>
        <w:t xml:space="preserve">（一）从知识传递转向经验建构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节气知识具有综合性和生活性，单纯讲解容易使幼儿知道词语却不理解其与生活的关系。项目式活动引导幼儿观察天气、植物、动物和人们活动，在连续比较中理解节气变化。幼儿获得的不是孤立的定义，而是与时间、地点、身体感受和行动相联系的立体经验。</w:t>
      </w:r>
    </w:p>
    <w:p>
      <w:pPr>
        <w:pStyle w:val="Heading2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楷体_GB2312" w:hAnsi="楷体_GB2312" w:eastAsia="楷体_GB2312"/>
        </w:rPr>
        <w:t xml:space="preserve">（二）从成人安排转向儿童参与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儿童视角不是取消教师作用，而是重新界定教师与幼儿在课程中的关系。活动主题可以源于幼儿的问题，探究方向可以由幼儿讨论确定，材料、记录方式和成果表达也应保留幼儿选择的空间。教师负责创设安全环境、提供适宜支架、观察学习过程，并在幼儿需要时给予支持。</w:t>
      </w:r>
    </w:p>
    <w:p>
      <w:pPr>
        <w:pStyle w:val="Heading2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楷体_GB2312" w:hAnsi="楷体_GB2312" w:eastAsia="楷体_GB2312"/>
        </w:rPr>
        <w:t xml:space="preserve">（三）从文化符号转向生活认同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传统文化的有效传承需要与幼儿当下生活建立意义联系。清明前后春意萌发，幼儿可以观察草木、放风筝、播种；冬至前后昼短夜长、天气寒冷，幼儿可以探究光影、冰雪，了解家乡饮食与家人团聚。幼儿在亲历、合作和表达中形成的文化经验，比机械记忆更能成为其生活的一部分。</w:t>
      </w:r>
    </w:p>
    <w:p>
      <w:pPr>
        <w:pStyle w:val="Heading1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黑体" w:hAnsi="黑体" w:eastAsia="黑体"/>
        </w:rPr>
        <w:t xml:space="preserve">三、中班节气项目式活动的设计框架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结合中班幼儿以具体形象思维为主、乐于操作但持续注意时间有限的特点，可将节气项目活动概括为“倾听—共构—探究—表达—复盘”五个相互联系的环节。</w:t>
      </w:r>
    </w:p>
    <w:p>
      <w:pPr>
        <w:pStyle w:val="Heading2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楷体_GB2312" w:hAnsi="楷体_GB2312" w:eastAsia="楷体_GB2312"/>
        </w:rPr>
        <w:t xml:space="preserve">（一）倾听：从生活感受中寻找真实问题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项目启动不以教师介绍节气知识开始，而是通过晨间谈话、亲子调查、照片分享、问题墙和儿童议事会了解幼儿已经看到什么、想知道什么。教师对幼儿问题进行分类，选择能够通过观察、实验、访谈或制作获得证据的问题作为驱动问题。驱动问题应具体、可探究，例如“清明前后幼儿园的树有什么变化”“冬至前后影子有什么变化”，避免“二十四节气是什么”这类过于宽泛的问题。</w:t>
      </w:r>
    </w:p>
    <w:p>
      <w:pPr>
        <w:pStyle w:val="Heading2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楷体_GB2312" w:hAnsi="楷体_GB2312" w:eastAsia="楷体_GB2312"/>
        </w:rPr>
        <w:t xml:space="preserve">（二）共构：让幼儿参与计划和规则形成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幼儿与教师共同讨论探究地点、材料、分组和记录方式，形成以图画、符号为主的计划图。共构不意味着所有决定都由幼儿完成，而是让幼儿在有限选项中作出真实选择，并理解选择带来的任务与责任。教师可将计划呈现为“想知道什么—怎样找答案—怎样记录—怎样分享”四个问题，帮助幼儿建立项目意识。</w:t>
      </w:r>
    </w:p>
    <w:p>
      <w:pPr>
        <w:pStyle w:val="Heading2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楷体_GB2312" w:hAnsi="楷体_GB2312" w:eastAsia="楷体_GB2312"/>
        </w:rPr>
        <w:t xml:space="preserve">（三）探究：以连续行动推动经验深化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节气变化具有时间性，活动应安排多次回访而非一次完成。教师采用同地点、相近时间的观察，鼓励幼儿比较前后记录，允许幼儿通过测量、拍照、绘图、访谈和简单实验验证猜想。低结构材料可以支持幼儿改变条件、反复试错，教师的开放性问题则推动幼儿说明证据、比较差异和提出新问题。</w:t>
      </w:r>
    </w:p>
    <w:p>
      <w:pPr>
        <w:pStyle w:val="Heading2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楷体_GB2312" w:hAnsi="楷体_GB2312" w:eastAsia="楷体_GB2312"/>
        </w:rPr>
        <w:t xml:space="preserve">（四）表达：以多元成果整合经验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项目成果应服务幼儿表达和同伴交流，而不是追求成人眼中的精美。可形成观察地图、项目小书、问题墙、影子剧、实验演示和分享会等形式。教师引导幼儿思考“别人怎样看懂我们的发现”，帮助其选择证据、组织顺序、练习讲述，使表达过程同时成为回顾和反思的过程。</w:t>
      </w:r>
    </w:p>
    <w:p>
      <w:pPr>
        <w:pStyle w:val="Heading2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楷体_GB2312" w:hAnsi="楷体_GB2312" w:eastAsia="楷体_GB2312"/>
        </w:rPr>
        <w:t xml:space="preserve">（五）复盘：以儿童反馈优化后续课程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项目结束时的复盘不是简单总结知识点，而是共同讨论“解决了什么问题”“采用了哪些办法”“合作中有哪些困难”“还想知道什么”。教师保存幼儿的新问题，调整区域材料和后续活动，使项目形成可延续的探究链条，也让儿童视角在课程迭代中真正落地。</w:t>
      </w:r>
    </w:p>
    <w:p>
      <w:pPr>
        <w:pStyle w:val="Heading1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黑体" w:hAnsi="黑体" w:eastAsia="黑体"/>
        </w:rPr>
        <w:t xml:space="preserve">四、两个中班节气项目的设计与分析</w:t>
      </w:r>
    </w:p>
    <w:p>
      <w:pPr>
        <w:pStyle w:val="Heading2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楷体_GB2312" w:hAnsi="楷体_GB2312" w:eastAsia="楷体_GB2312"/>
        </w:rPr>
        <w:t xml:space="preserve">（一）清明：春日变化小侦探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清明项目以“清明前后，幼儿园和家乡的春天发生了什么变化，我们怎样把发现留下来”为驱动问题，预设两周、约8次集体活动。项目先通过亲子“春日发现卡”和儿童议事会汇集幼儿问题，再分为天气、植物和人们活动三个观察组。幼儿使用放大镜、软尺、照片和自制符号，对同一地点进行三次回访，比较芽苞、草地、鸟类、衣着和活动变化。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在文化体验环节，教师设置听故事、做风筝、种春天和花草拓印等体验站，幼儿依据兴趣选择并轮换。活动不机械要求每名幼儿完成同一作品，而是允许其在不同站点中持续探究。最终成果为班级春日变化地图和小组“春日小书”，幼儿在播报会上说明发现证据并回应同伴提问。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该设计的儿童本位体现在三个方面：其一，探究问题来自幼儿对春天的直接观察；其二，连续回访使幼儿能够比较而不只是观看；其三，地图和小书由幼儿共同决定内容与呈现方式。传统文化内容嵌入放风筝、播种等生活体验中，避免把清明简化为知识问答。</w:t>
      </w:r>
    </w:p>
    <w:p>
      <w:pPr>
        <w:pStyle w:val="Heading2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楷体_GB2312" w:hAnsi="楷体_GB2312" w:eastAsia="楷体_GB2312"/>
        </w:rPr>
        <w:t xml:space="preserve">（二）冬至：白天变长的秘密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冬至项目从幼儿“天黑得早”“冰为什么会化”等生活感受出发，形成“冬至前后白天和影子有什么变化，可以用什么办法发现它、记录它”的驱动问题。活动安排太阳和影子追踪、白天时间调查、冰的秘密、影子剧场、冬至生活馆和送温暖行动，涉及科学探究、语言表达、艺术表现和社会交往等多个领域。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影子活动中，幼儿在相近时间、同一地点描画和测量影子，连续比较方向与长短，再用手电筒和积木模拟光源位置变化。冰实验中，幼儿先猜测不同条件下冰块融化的速度，再通过手心、冷水、温水和食盐等对比条件进行验证。教师不急于给出答案，而是引导幼儿用“我看到了什么、我怎样解释”表达证据。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冬至文化体验与科学探究相互补充。幼儿调查家庭保暖方式和冬至食物，在生活馆中了解家乡习俗，并通过问候、贺卡和手工表达对身边劳动者的关心。这样既回应了幼儿对自然现象的好奇，也使节气文化落到亲情、劳动与集体温暖的生活经验中。</w:t>
      </w:r>
    </w:p>
    <w:p>
      <w:pPr>
        <w:pStyle w:val="Heading2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楷体_GB2312" w:hAnsi="楷体_GB2312" w:eastAsia="楷体_GB2312"/>
        </w:rPr>
        <w:t xml:space="preserve">（三）两个项目的共同设计逻辑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两个项目均以儿童问题启动，以连续观察或实验推进，以集体成果和公开表达收束，并保留复盘产生的新问题。清明项目侧重自然观察与文化体验的融合，冬至项目侧重光影、冰雪等科学现象与生活文化的联结。二者均把地域气候和幼儿当下经验作为内容选择依据，没有要求幼儿机械识记全部节气知识，而是通过一个有深度的项目积累可迁移的探究经验。</w:t>
      </w:r>
    </w:p>
    <w:p>
      <w:pPr>
        <w:pStyle w:val="Heading1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黑体" w:hAnsi="黑体" w:eastAsia="黑体"/>
        </w:rPr>
        <w:t xml:space="preserve">五、实施策略</w:t>
      </w:r>
    </w:p>
    <w:p>
      <w:pPr>
        <w:pStyle w:val="Heading2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楷体_GB2312" w:hAnsi="楷体_GB2312" w:eastAsia="楷体_GB2312"/>
        </w:rPr>
        <w:t xml:space="preserve">（一）把儿童原话和问题转化为课程资源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教师可建立项目观察记录，记录幼儿反复提出的问题、使用的解释和改变想法的事件。项目推进中定期回看这些记录，判断哪些问题值得深入、哪些材料需要补充、哪些活动偏离了幼儿经验。对幼儿暂时无法回答的问题，教师应提供调查和实验机会，而不是用标准答案终止探究。</w:t>
      </w:r>
    </w:p>
    <w:p>
      <w:pPr>
        <w:pStyle w:val="Heading2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楷体_GB2312" w:hAnsi="楷体_GB2312" w:eastAsia="楷体_GB2312"/>
        </w:rPr>
        <w:t xml:space="preserve">（二）以低结构材料支持持续试错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放大镜、软尺、手电筒、积木、透明杯、自然物和记录卡等材料具有组合和变化的可能，可以支持幼儿提出不同方案。教师需要预先检查安全风险，同时保留材料的开放性，避免每份材料只能完成一种指定作品。幼儿在重复操作和比较中逐渐修正认识，项目也因此具有生成性。</w:t>
      </w:r>
    </w:p>
    <w:p>
      <w:pPr>
        <w:pStyle w:val="Heading2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楷体_GB2312" w:hAnsi="楷体_GB2312" w:eastAsia="楷体_GB2312"/>
        </w:rPr>
        <w:t xml:space="preserve">（三）让地域物候成为真实课程内容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敦化市季节变化明显，清明前后的融雪、萌发和风力，冬至前后的昼短夜长、低温冰雪，都是幼儿能够直接感知的资源。教师应根据本地实际选择观察对象和时间，不能照搬南方地区的花开、农事等素材。对本地家庭习俗的调查也有助于幼儿理解文化的共同性与多样性。</w:t>
      </w:r>
    </w:p>
    <w:p>
      <w:pPr>
        <w:pStyle w:val="Heading2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楷体_GB2312" w:hAnsi="楷体_GB2312" w:eastAsia="楷体_GB2312"/>
        </w:rPr>
        <w:t xml:space="preserve">（四）在项目过程中嵌入发展性评价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评价应关注幼儿提出问题、坚持探究、合作交流和文化体验的过程。教师可采用观察记录、照片视频、幼儿作品、儿童讲述和亲子反馈等证据，围绕兴趣与主动性、观察与思考、合作与表达、关心与责任等方面进行连续记录。评价结果用于调整材料和教学支持，而不是给幼儿排名或贴标签。</w:t>
      </w:r>
    </w:p>
    <w:p>
      <w:pPr>
        <w:pStyle w:val="Heading2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楷体_GB2312" w:hAnsi="楷体_GB2312" w:eastAsia="楷体_GB2312"/>
        </w:rPr>
        <w:t xml:space="preserve">（五）建立安全边界与差异支持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项目活动越开放，越需要清晰的安全规则。户外观察应控制时长和路线，冰雪实验应防止入口和滑倒，食品活动应排查过敏并保证卫生。对不同发展水平的幼儿，可通过照片选择、同伴搭档、任务分解和大号工具等方式提供支持，确保每名幼儿都有真实参与和表达的机会。</w:t>
      </w:r>
    </w:p>
    <w:p>
      <w:pPr>
        <w:pStyle w:val="Heading1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黑体" w:hAnsi="黑体" w:eastAsia="黑体"/>
        </w:rPr>
        <w:t xml:space="preserve">六、实践反思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儿童视角下的节气项目活动对教师提出了更高要求。教师既要具备观察和倾听能力，也要能够从幼儿零散兴趣中识别有价值的探究线索，并在课程目标、幼儿经验和现实条件之间作出平衡。项目不必然按照预设顺序推进，教师需要依据幼儿的新问题调整节奏，但不能因此放弃活动的连续性和目标意识。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同时，项目式活动不应被理解为时间越长、作品越多越好。判断活动质量的关键，在于幼儿是否拥有真实问题、是否有机会持续行动、是否能够说明自己的发现、是否在合作中获得新的经验。对于中班幼儿而言，一次有证据的比较、一个能够坚持完成的观察任务、一次愿意倾听同伴的讨论，都具有重要发展价值。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后续研究可进一步积累不同节气、不同年龄段的活动证据，比较不同材料与教师支持方式对幼儿探究行为的影响，并完善过程性评价工具。只有在真实实践中持续倾听儿童、回应儿童，二十四节气课程才能既保持文化厚度，又真正适合幼儿的发展需要。</w:t>
      </w:r>
    </w:p>
    <w:p>
      <w:pPr>
        <w:pStyle w:val="Heading1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黑体" w:hAnsi="黑体" w:eastAsia="黑体"/>
        </w:rPr>
        <w:t xml:space="preserve">参考文献</w:t>
      </w:r>
    </w:p>
    <w:p>
      <w:pPr>
        <w:pStyle w:val="Reference"/>
        <w:keepNext w:val="0"/>
        <w:keepLines w:val="0"/>
        <w:pageBreakBefore w:val="0"/>
        <w:widowControl w:val="0"/>
        <w:spacing w:before="0" w:after="0" w:line="240" w:lineRule="auto"/>
        <w:ind w:leftChars="200" w:left="320" w:hangingChars="200" w:hanging="320"/>
        <w:jc w:val="both"/>
        <w:rPr/>
      </w:pPr>
      <w:r>
        <w:t xml:space="preserve">[1]裴周彬.《四季歌》引领幼儿走进生活、走进自然——二十四节气文化融入幼儿园教学活动的路径[J].琴童,2025,(01):61-63.</w:t>
      </w:r>
    </w:p>
    <w:p>
      <w:pPr>
        <w:pStyle w:val="Reference"/>
        <w:keepNext w:val="0"/>
        <w:keepLines w:val="0"/>
        <w:pageBreakBefore w:val="0"/>
        <w:widowControl w:val="0"/>
        <w:spacing w:before="0" w:after="0" w:line="240" w:lineRule="auto"/>
        <w:ind w:leftChars="200" w:left="320" w:hangingChars="200" w:hanging="320"/>
        <w:jc w:val="both"/>
        <w:rPr/>
      </w:pPr>
      <w:r>
        <w:t xml:space="preserve">[2]唐军.幼儿园二十四节气主题园本课程开发路径探索[J].新班主任,2024,(11):9-11.</w:t>
      </w:r>
    </w:p>
    <w:p>
      <w:pPr>
        <w:pStyle w:val="Reference"/>
        <w:keepNext w:val="0"/>
        <w:keepLines w:val="0"/>
        <w:pageBreakBefore w:val="0"/>
        <w:widowControl w:val="0"/>
        <w:spacing w:before="0" w:after="0" w:line="240" w:lineRule="auto"/>
        <w:ind w:leftChars="200" w:left="320" w:hangingChars="200" w:hanging="320"/>
        <w:jc w:val="both"/>
        <w:rPr/>
      </w:pPr>
      <w:r>
        <w:t xml:space="preserve">[3]郑爽.幼儿园劳动教育与二十四节气知识的结合策略[J].家长,2023,(20):119-121.</w:t>
      </w:r>
    </w:p>
    <w:p>
      <w:pPr>
        <w:pStyle w:val="Reference"/>
        <w:keepNext w:val="0"/>
        <w:keepLines w:val="0"/>
        <w:pageBreakBefore w:val="0"/>
        <w:widowControl w:val="0"/>
        <w:spacing w:before="0" w:after="0" w:line="240" w:lineRule="auto"/>
        <w:ind w:leftChars="200" w:left="320" w:hangingChars="200" w:hanging="320"/>
        <w:jc w:val="both"/>
        <w:rPr/>
      </w:pPr>
      <w:r>
        <w:t xml:space="preserve">[4]郭婷.“二十四节气”文化融入幼儿园园本课程建设的实践路径[J].新西部,2025,(08):181-187.</w:t>
      </w:r>
    </w:p>
    <w:p>
      <w:pPr>
        <w:pStyle w:val="Reference"/>
        <w:keepNext w:val="0"/>
        <w:keepLines w:val="0"/>
        <w:pageBreakBefore w:val="0"/>
        <w:widowControl w:val="0"/>
        <w:spacing w:before="0" w:after="0" w:line="240" w:lineRule="auto"/>
        <w:ind w:leftChars="200" w:left="320" w:hangingChars="200" w:hanging="320"/>
        <w:jc w:val="both"/>
        <w:rPr/>
      </w:pPr>
      <w:r>
        <w:t xml:space="preserve">[5]苏星,刘颖.基于二十四节气的幼儿园生活化课程实践研究[J].东方娃娃·绘本与教育,2025,(07):56-58.</w:t>
      </w:r>
    </w:p>
    <w:sectPr>
      <w:footerReference w:type="default" r:id="rIdFooterOdd"/>
      <w:footerReference w:type="even" r:id="rIdFooterEven"/>
      <w:pgSz w:w="11906" w:h="16838"/>
      <w:pgMar w:top="2098" w:right="1474" w:bottom="1984" w:left="1587" w:header="850" w:footer="1474" w:gutter="0"/>
      <w:cols w:space="720"/>
      <w:docGrid w:type="linesAndChars" w:linePitch="580" w:charSpace="0"/>
    </w:sectPr>
  </w:body>
</w:document>
</file>

<file path=word/fontTable.xml><?xml version="1.0" encoding="utf-8"?>
<w:fonts xmlns:w="http://schemas.openxmlformats.org/wordprocessingml/2006/main">
  <w:font w:name="宋体">
    <w:charset w:val="86"/>
    <w:family w:val="auto"/>
    <w:pitch w:val="variable"/>
  </w:font>
  <w:font w:name="黑体">
    <w:charset w:val="86"/>
    <w:family w:val="auto"/>
    <w:pitch w:val="variable"/>
  </w:font>
  <w:font w:name="仿宋_GB2312">
    <w:charset w:val="86"/>
    <w:family w:val="auto"/>
    <w:pitch w:val="variable"/>
  </w:font>
  <w:font w:name="楷体_GB2312">
    <w:charset w:val="86"/>
    <w:family w:val="auto"/>
    <w:pitch w:val="variable"/>
  </w:font>
</w:fonts>
</file>

<file path=word/footer1.xml><?xml version="1.0" encoding="utf-8"?>
<w:ftr xmlns:w="http://schemas.openxmlformats.org/wordprocessingml/2006/main">
  <w:p>
    <w:pPr>
      <w:pStyle w:val="Footer"/>
      <w:ind w:rightChars="100" w:right="280"/>
      <w:jc w:val="right"/>
    </w:pPr>
    <w:r>
      <w:rPr>
        <w:rFonts w:ascii="宋体" w:hAnsi="宋体" w:eastAsia="宋体"/>
        <w:sz w:val="28"/>
        <w:szCs w:val="28"/>
      </w:rPr>
      <w:t>－ </w:t>
    </w:r>
    <w:fldSimple w:instr=" PAGE ">
      <w:r>
        <w:rPr>
          <w:rFonts w:ascii="宋体" w:hAnsi="宋体" w:eastAsia="宋体"/>
          <w:sz w:val="28"/>
          <w:szCs w:val="28"/>
        </w:rPr>
        <w:t>1</w:t>
      </w:r>
    </w:fldSimple>
    <w:r>
      <w:rPr>
        <w:rFonts w:ascii="宋体" w:hAnsi="宋体" w:eastAsia="宋体"/>
        <w:sz w:val="28"/>
        <w:szCs w:val="28"/>
      </w:rPr>
      <w:t> －</w:t>
    </w:r>
  </w:p>
</w:ftr>
</file>

<file path=word/footer2.xml><?xml version="1.0" encoding="utf-8"?>
<w:ftr xmlns:w="http://schemas.openxmlformats.org/wordprocessingml/2006/main">
  <w:p>
    <w:pPr>
      <w:pStyle w:val="Footer"/>
      <w:ind w:leftChars="100" w:left="280"/>
      <w:jc w:val="left"/>
    </w:pPr>
    <w:r>
      <w:rPr>
        <w:rFonts w:ascii="宋体" w:hAnsi="宋体" w:eastAsia="宋体"/>
        <w:sz w:val="28"/>
        <w:szCs w:val="28"/>
      </w:rPr>
      <w:t>－ </w:t>
    </w:r>
    <w:fldSimple w:instr=" PAGE ">
      <w:r>
        <w:rPr>
          <w:rFonts w:ascii="宋体" w:hAnsi="宋体" w:eastAsia="宋体"/>
          <w:sz w:val="28"/>
          <w:szCs w:val="28"/>
        </w:rPr>
        <w:t>1</w:t>
      </w:r>
    </w:fldSimple>
    <w:r>
      <w:rPr>
        <w:rFonts w:ascii="宋体" w:hAnsi="宋体" w:eastAsia="宋体"/>
        <w:sz w:val="28"/>
        <w:szCs w:val="28"/>
      </w:rPr>
      <w:t> －</w:t>
    </w:r>
  </w:p>
</w:ftr>
</file>

<file path=word/settings.xml><?xml version="1.0" encoding="utf-8"?>
<w:settings xmlns:w="http://schemas.openxmlformats.org/wordprocessingml/2006/main">
  <w:defaultTabStop w:val="420"/>
  <w:evenAndOddHeaders w:val="true"/>
  <w:characterSpacingControl w:val="doNotCompress"/>
  <w:updateFields w:val="true"/>
  <w:compat>
    <w:compatSetting w:name="compatibilityMode" w:uri="http://schemas.microsoft.com/office/word" w:val="15"/>
  </w:compat>
  <w:themeFontLang w:val="zh-CN" w:eastAsia="zh-CN"/>
</w:settings>
</file>

<file path=word/styles.xml><?xml version="1.0" encoding="utf-8"?>
<w:styles xmlns:w="http://schemas.openxmlformats.org/wordprocessingml/2006/main">
  <w:docDefaults>
    <w:rPrDefault>
      <w:rPr>
        <w:rFonts w:ascii="仿宋_GB2312" w:hAnsi="仿宋_GB2312" w:eastAsia="仿宋_GB2312" w:cs="Times New Roman"/>
        <w:sz w:val="32"/>
        <w:szCs w:val="32"/>
        <w:lang w:val="zh-CN" w:eastAsia="zh-CN" w:bidi="ar-SA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</w:style>
  <w:style w:type="paragraph" w:styleId="PaperTitle">
    <w:name w:val="Paper Title"/>
    <w:basedOn w:val="Normal"/>
    <w:qFormat/>
    <w:pPr>
      <w:spacing w:before="0" w:after="0" w:line="579" w:lineRule="exact"/>
      <w:jc w:val="center"/>
    </w:pPr>
    <w:rPr>
      <w:rFonts w:ascii="宋体" w:hAnsi="宋体" w:eastAsia="宋体"/>
      <w:b/>
      <w:sz w:val="44"/>
      <w:szCs w:val="44"/>
    </w:rPr>
  </w:style>
  <w:style w:type="paragraph" w:styleId="BodyText">
    <w:name w:val="Body Text"/>
    <w:basedOn w:val="Normal"/>
    <w:qFormat/>
    <w:pPr>
      <w:spacing w:line="240" w:lineRule="auto"/>
      <w:ind w:firstLineChars="200" w:firstLine="320"/>
      <w:jc w:val="both"/>
    </w:pPr>
    <w:rPr>
      <w:rFonts w:ascii="仿宋_GB2312" w:hAnsi="仿宋_GB2312" w:eastAsia="仿宋_GB2312"/>
      <w:sz w:val="32"/>
      <w:szCs w:val="32"/>
    </w:rPr>
  </w:style>
  <w:style w:type="paragraph" w:styleId="Heading1">
    <w:name w:val="Heading 1"/>
    <w:basedOn w:val="Normal"/>
    <w:qFormat/>
    <w:pPr>
      <w:spacing w:line="240" w:lineRule="auto"/>
      <w:ind w:firstLineChars="200" w:firstLine="320"/>
      <w:jc w:val="both"/>
    </w:pPr>
    <w:rPr>
      <w:rFonts w:ascii="黑体" w:hAnsi="黑体" w:eastAsia="黑体"/>
      <w:sz w:val="32"/>
      <w:szCs w:val="32"/>
    </w:rPr>
  </w:style>
  <w:style w:type="paragraph" w:styleId="Heading2">
    <w:name w:val="Heading 2"/>
    <w:basedOn w:val="Normal"/>
    <w:qFormat/>
    <w:pPr>
      <w:spacing w:line="240" w:lineRule="auto"/>
      <w:ind w:firstLineChars="200" w:firstLine="320"/>
      <w:jc w:val="both"/>
    </w:pPr>
    <w:rPr>
      <w:rFonts w:ascii="楷体_GB2312" w:hAnsi="楷体_GB2312" w:eastAsia="楷体_GB2312"/>
      <w:sz w:val="32"/>
      <w:szCs w:val="32"/>
    </w:rPr>
  </w:style>
  <w:style w:type="paragraph" w:styleId="Heading3">
    <w:name w:val="Heading 3"/>
    <w:basedOn w:val="Normal"/>
    <w:qFormat/>
    <w:pPr>
      <w:spacing w:line="240" w:lineRule="auto"/>
      <w:ind w:firstLineChars="200" w:firstLine="320"/>
      <w:jc w:val="both"/>
    </w:pPr>
    <w:rPr>
      <w:rFonts w:ascii="仿宋_GB2312" w:hAnsi="仿宋_GB2312" w:eastAsia="仿宋_GB2312"/>
      <w:sz w:val="32"/>
      <w:szCs w:val="32"/>
    </w:rPr>
  </w:style>
  <w:style w:type="paragraph" w:styleId="Reference">
    <w:name w:val="Reference"/>
    <w:basedOn w:val="Normal"/>
    <w:pPr>
      <w:spacing w:line="240" w:lineRule="auto"/>
      <w:ind w:leftChars="200" w:left="320" w:hangingChars="200" w:hanging="320"/>
      <w:jc w:val="both"/>
    </w:pPr>
    <w:rPr>
      <w:rFonts w:ascii="仿宋_GB2312" w:hAnsi="仿宋_GB2312" w:eastAsia="仿宋_GB2312"/>
      <w:sz w:val="32"/>
      <w:szCs w:val="32"/>
    </w:rPr>
  </w:style>
  <w:style w:type="paragraph" w:styleId="Footer">
    <w:name w:val="Footer"/>
    <w:basedOn w:val="Normal"/>
    <w:pPr>
      <w:spacing w:line="240" w:lineRule="auto"/>
    </w:pPr>
    <w:rPr>
      <w:rFonts w:ascii="宋体" w:hAnsi="宋体" w:eastAsia="宋体"/>
      <w:sz w:val="28"/>
      <w:szCs w:val="28"/>
    </w:rPr>
  </w:style>
</w:styles>
</file>

<file path=word/_rels/document.xml.rels><?xml version="1.0" encoding="UTF-8" standalone="yes"?>
<Relationships xmlns="http://schemas.openxmlformats.org/package/2006/relationships">
<Relationship Id="rIdStyles" Type="http://schemas.openxmlformats.org/officeDocument/2006/relationships/styles" Target="styles.xml"/>
<Relationship Id="rIdSettings" Type="http://schemas.openxmlformats.org/officeDocument/2006/relationships/settings" Target="settings.xml"/>
<Relationship Id="rIdFontTable" Type="http://schemas.openxmlformats.org/officeDocument/2006/relationships/fontTable" Target="fontTable.xml"/>
<Relationship Id="rIdFooterOdd" Type="http://schemas.openxmlformats.org/officeDocument/2006/relationships/footer" Target="footer1.xml"/>
<Relationship Id="rIdFooterEven" Type="http://schemas.openxmlformats.org/officeDocument/2006/relationships/footer" Target="footer2.xm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儿童视角下中班二十四节气项目式活动的设计与实施——以“清明”“冬至”为例</dc:title>
  <dc:creator>孙艳丽</dc:creator>
  <cp:lastModifiedBy>孙艳丽</cp:lastModifiedBy>
  <dcterms:created xsi:type="dcterms:W3CDTF">2026-10-26T12:00:00Z</dcterms:created>
  <dcterms:modified xsi:type="dcterms:W3CDTF">2026-10-26T12:00:00Z</dcterms:modified>
</cp:coreProperties>
</file>