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儿童视角下中班二十四节气项目式活动的设计与实施</w:t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——以“清明”“冬至”为例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jc w:val="center"/>
        <w:rPr/>
      </w:pPr>
      <w:r>
        <w:rPr>
          <w:b w:val="0"/>
        </w:rPr>
        <w:t xml:space="preserve">敦化市第五幼儿园　孙艳丽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jc w:val="center"/>
        <w:rPr/>
      </w:pPr>
      <w:r>
        <w:rPr>
          <w:b w:val="0"/>
        </w:rPr>
        <w:t xml:space="preserve">摘　要：二十四节气蕴含丰富的自然、生活与文化教育资源，但幼儿园实践中仍存在知识讲解多、儿童参与浅、活动碎片化等问题。研究立足儿童视角，提出“倾听—共构—探究—表达—复盘”的中班节气项目式活动设计框架，并以“清明：春日变化小侦探”和“冬至：白天变长的秘密”为例，说明如何从幼儿真实生活经验中生成问题，以低结构材料支持持续探究，以多元表达促进经验整合，以过程性证据开展发展性评价。实践设计表明，节气项目活动只有把儿童的问题、选择和解释置于课程中心，并与地域物候、家庭生活建立联系，才能实现文化传承与幼儿主动发展的统一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关键词：儿童视角；二十四节气；项目式活动；中班；幼儿园课程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一、问题提出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二十四节气是中华优秀传统文化的重要组成部分，也是幼儿观察自然节律、理解生活经验的课程资源。2017年，中共中央办公厅、国务院办公厅印发《关于实施中华优秀传统文化传承发展工程的意见》，强调加强对传统节气等文化内容的研究阐释和动态利用。对幼儿园而言，节气教育不应停留在认识名称、背诵儿歌或完成手工，而应帮助幼儿在真实生活中发现自然变化，在持续探究中形成经验，在文化体验中萌发认同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梳理相关实践可以看到，节气内容进入幼儿园课程大致形成三条路径：郑爽将农事劳动与节气知识相连，借种植、照护等活动增加幼儿动手机会；唐军着眼于园本课程的组织与开发；裴周彬则从童谣、歌曲等媒介入手，让幼儿接触自然与生活。它们说明节气课程已有较丰富的切入点，但也留下一个尚未充分解决的问题：不少方案仍由教师先确定应学内容，再安排一次性的观察或制作。这样的活动虽然热闹，节气经验却随着活动结束而中断。尤其当园所直接借用异地花木、农事日程时，幼儿眼前可看、可摸的自然线索反而被搁置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儿童视角强调教师看见、理解和回应儿童的需要、意图与行动，把幼儿视为有能力的意义建构者。项目式活动则以真实问题为驱动，以持续探究和成果表达为基本路径。将二者结合，有助于把节气文化从外部知识转化为幼儿可感知、可行动、可解释的经验。本文据此讨论中班节气项目活动的设计原则与实施策略，并以清明、冬至活动为例加以说明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二、儿童视角下节气项目式活动的价值定位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（一）从知识传递转向经验建构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节气知识具有综合性和生活性，单纯讲解容易使幼儿知道词语却不理解其与生活的关系。项目式活动引导幼儿观察天气、植物、动物和人们活动，在连续比较中理解节气变化。幼儿获得的不是孤立的定义，而是与时间、地点、身体感受和行动相联系的立体经验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（二）从成人安排转向儿童参与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儿童视角不是取消教师作用，而是重新界定教师与幼儿在课程中的关系。活动主题可以源于幼儿的问题，探究方向可以由幼儿讨论确定，材料、记录方式和成果表达也应保留幼儿选择的空间。教师负责创设安全环境、提供适宜支架、观察学习过程，并在幼儿需要时给予支持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（三）从文化符号转向生活认同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传统文化的有效传承需要与幼儿当下生活建立意义联系。清明前后春意萌发，幼儿可以观察草木、放风筝、播种；冬至前后昼短夜长、天气寒冷，幼儿可以探究光影、冰雪，了解家乡饮食与家人团聚。幼儿在亲历、合作和表达中形成的文化经验，比机械记忆更能成为其生活的一部分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三、中班节气项目式活动的设计框架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结合中班幼儿以具体形象思维为主、乐于操作但持续注意时间有限的特点，可将节气项目活动概括为“倾听—共构—探究—表达—复盘”五个相互联系的环节。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（一）倾听：从生活感受中寻找真实问题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启动不以教师介绍节气知识开始，而是通过晨间谈话、亲子调查、照片分享、问题墙和儿童议事会了解幼儿已经看到什么、想知道什么。教师对幼儿问题进行分类，选择能够通过观察、实验、访谈或制作获得证据的问题作为驱动问题。驱动问题应具体、可探究，例如“清明前后幼儿园的树有什么变化”“冬至前后影子有什么变化”，避免“二十四节气是什么”这类过于宽泛的问题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（二）共构：让幼儿参与计划和规则形成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幼儿与教师共同讨论探究地点、材料、分组和记录方式，形成以图画、符号为主的计划图。共构不意味着所有决定都由幼儿完成，而是让幼儿在有限选项中作出真实选择，并理解选择带来的任务与责任。教师可将计划呈现为“想知道什么—怎样找答案—怎样记录—怎样分享”四个问题，帮助幼儿建立项目意识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（三）探究：以连续行动推动经验深化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节气的物候线索不会在一次活动中全部出现，因此观察要沿着一段时间展开。教师可让各组在同一片树木、同一块草地或同一处日照位置留下标记，每隔几天用相近的方法复看。孩子画下的芽、量出的影子、拍到的鸟，都会成为下一次讨论的凭证。遇到“怎么不一样了”“是不是那天风大”这类追问，教师可把软尺、透明杯、手电筒等材料放到幼儿手边，请他们试着改变一个条件，再看结果是否随之变化。探究因此不是照着步骤操作，而是在一次次的对照、解释和修正中往前走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（四）表达：以多元成果整合经验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成果应服务幼儿表达和同伴交流，而不是追求成人眼中的精美。可形成观察地图、项目小书、问题墙、影子剧、实验演示和分享会等形式。教师引导幼儿思考“别人怎样看懂我们的发现”，帮助其选择证据、组织顺序、练习讲述，使表达过程同时成为回顾和反思的过程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（五）复盘：以儿童反馈优化后续课程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结束时的复盘不是简单总结知识点，而是共同讨论“解决了什么问题”“采用了哪些办法”“合作中有哪些困难”“还想知道什么”。教师保存幼儿的新问题，调整区域材料和后续活动，使项目形成可延续的探究链条，也让儿童视角在课程迭代中真正落地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四、两个中班节气项目的设计与分析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（一）清明：春日变化小侦探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清明项目以“清明前后，幼儿园和家乡的春天发生了什么变化，我们怎样把发现留下来”为驱动问题，预设两周、约8次集体活动。项目先通过亲子“春日发现卡”和儿童议事会汇集幼儿问题，再分为天气、植物和人们活动三个观察组。幼儿使用放大镜、软尺、照片和自制符号，对同一地点进行三次回访，比较芽苞、草地、鸟类、衣着和活动变化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文化体验没有排成统一的制作流程，而是分散为几个可以停留的小站：有的孩子在故事角追问清明习俗，有的用薄纸和竹篾试做风筝，有的在种植角埋下种子，还有的把花瓣、叶片压进拓印纸。教师只交代各站材料和安全要求，具体玩法、停留时长和合作搭档由小组商量。这样一来，幼儿既可能在体验中继续前一天的观察，也可能因一次失败重新调整方法。项目收束时，班级地图由各组拼接完成，小组“春日小书”则保留照片、草图、口述记录和不同意见。播报会上，幼儿需要指出“证据在哪里”，同伴也可以提出疑问，成果因而不只是展示，更成为共同检验和补充发现的过程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该设计的儿童本位体现在三个方面：其一，探究问题来自幼儿对春天的直接观察；其二，连续回访使幼儿能够比较而不只是观看；其三，地图和小书由幼儿共同决定内容与呈现方式。传统文化内容嵌入放风筝、播种等生活体验中，避免把清明简化为知识问答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（二）冬至：白天变长的秘密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冬至项目从幼儿“天黑得早”“冰为什么会化”等生活感受出发，形成“冬至前后白天和影子有什么变化，可以用什么办法发现它、记录它”的驱动问题。活动安排太阳和影子追踪、白天时间调查、冰的秘密、影子剧场、冬至生活馆和送温暖行动，涉及科学探究、语言表达、艺术表现和社会交往等多个领域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影子活动中，幼儿在相近时间、同一地点描画和测量影子，连续比较方向与长短，再用手电筒和积木模拟光源位置变化。冰实验中，幼儿先猜测不同条件下冰块融化的速度，再通过手心、冷水、温水和食盐等对比条件进行验证。教师不急于给出答案，而是引导幼儿用“我看到了什么、我怎样解释”表达证据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冬至文化体验与科学探究相互补充。幼儿调查家庭保暖方式和冬至食物，在生活馆中了解家乡习俗，并通过问候、贺卡和手工表达对身边劳动者的关心。这样既回应了幼儿对自然现象的好奇，也使节气文化落到亲情、劳动与集体温暖的生活经验中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（三）两个项目的共同设计逻辑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两个项目均以儿童问题启动，以连续观察或实验推进，以集体成果和公开表达收束，并保留复盘产生的新问题。清明项目侧重自然观察与文化体验的融合，冬至项目侧重光影、冰雪等科学现象与生活文化的联结。二者均把地域气候和幼儿当下经验作为内容选择依据，没有要求幼儿机械识记全部节气知识，而是通过一个有深度的项目积累可迁移的探究经验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五、实施策略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（一）把儿童原话和问题转化为课程资源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教师可建立项目观察记录，记录幼儿反复提出的问题、使用的解释和改变想法的事件。项目推进中定期回看这些记录，判断哪些问题值得深入、哪些材料需要补充、哪些活动偏离了幼儿经验。对幼儿暂时无法回答的问题，教师应提供调查和实验机会，而不是用标准答案终止探究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（二）以低结构材料支持持续试错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放大镜、软尺、手电筒、积木、透明杯、自然物和记录卡等材料具有组合和变化的可能，可以支持幼儿提出不同方案。教师需要预先检查安全风险，同时保留材料的开放性，避免每份材料只能完成一种指定作品。幼儿在重复操作和比较中逐渐修正认识，项目也因此具有生成性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（三）让地域物候成为真实课程内容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敦化市季节变化明显，清明前后的融雪、萌发和风力，冬至前后的昼短夜长、低温冰雪，都是幼儿能够直接感知的资源。教师应根据本地实际选择观察对象和时间，不能照搬南方地区的花开、农事等素材。对本地家庭习俗的调查也有助于幼儿理解文化的共同性与多样性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（四）在项目过程中嵌入发展性评价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评价材料无需另设一套测试，它可以从日常项目痕迹中自然汇集。比如，孩子把昨天的嫩芽和今天的嫩芽并排贴进记录本，能看出他是否在比较；一次小组争执后，大家重新商定测量位置，能看出合作规则怎样形成；幼儿在播报时引用照片而不是只说“我觉得”，则说明其开始意识到证据的作用。教师可据此为每名幼儿保留简短的项目档案，写下其问题、尝试、修正及表达片段，并在周复盘时与同伴讨论下一步应补充哪些材料或邀请谁加入。记录的作用是让支持更贴近幼儿当下的需要，不以分数排序，也不以统一标准裁切差异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（五）建立安全边界与差异支持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活动越开放，越需要清晰的安全规则。户外观察应控制时长和路线，冰雪实验应防止入口和滑倒，食品活动应排查过敏并保证卫生。对不同发展水平的幼儿，可通过照片选择、同伴搭档、任务分解和大号工具等方式提供支持，确保每名幼儿都有真实参与和表达的机会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六、实践反思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这样的课程没有把教师推到一旁。相反，教师要对现场保持敏感：哪些问题是随口一问，哪些反复出现在游戏和绘画中，哪些暂时值得陪伴、哪些可以提供工具继续追查，都需要现场判断。预设的周计划仍有作用，它帮助教师看清材料、场地和目标之间的关系；但当幼儿围绕一场倒春寒、一块迟迟不化的冰展开讨论时，计划也应留出调整的余地。难点恰在于既不让预设牵着幼儿走，也不因追随兴趣而失去探究方向。教师可用“今天出现了什么新证据”“下一步还能怎样查”作为回看问题，让弹性调整始终服务于项目的连续推进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同时，项目式活动不应被理解为时间越长、作品越多越好。判断活动质量的关键，在于幼儿是否拥有真实问题、是否有机会持续行动、是否能够说明自己的发现、是否在合作中获得新的经验。对于中班幼儿而言，一次有证据的比较、一个能够坚持完成的观察任务、一次愿意倾听同伴的讨论，都具有重要发展价值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这次讨论只涉及清明、冬至两个活动，尚不足以说明其他节气和年龄班的实施效果。后续可以在真实课程中继续收集幼儿的记录、对话和作品，考察不同材料组合、同伴分组及教师提问方式会带来哪些变化，并据此修订观察指标与评价工具。研究也需要回到儿童那里：他们是否把节气看作身边正在发生的事，是否愿意继续追问，是否能与同伴共同解释发现。只有这些问题在实践中得到持续回应，节气课程才不会停在文化知识的表层，而能成为幼儿认识自然、参与生活的一条路径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参考文献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[1]裴周彬.《四季歌》引领幼儿走进生活、走进自然——二十四节气文化融入幼儿园教学活动的路径[J].琴童,2025,(01):61-63.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[2]唐军.幼儿园二十四节气主题园本课程开发路径探索[J].新班主任,2024,(11):9-11.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[3]郑爽.幼儿园劳动教育与二十四节气知识的结合策略[J].家长,2023,(20):119-121.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[4]郭婷.“二十四节气”文化融入幼儿园园本课程建设的实践路径[J].新西部,2025,(08):181-187.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[5]苏星,刘颖.基于二十四节气的幼儿园生活化课程实践研究[J].东方娃娃·绘本与教育,2025,(07):56-58.</w:t>
      </w:r>
    </w:p>
    <w:sectPr>
      <w:footerReference w:type="default" r:id="rIdFooterOdd"/>
      <w:footerReference w:type="even" r:id="rIdFooterEven"/>
      <w:pgSz w:w="11906" w:h="16838"/>
      <w:pgMar w:top="2098" w:right="1474" w:bottom="1984" w:left="1587" w:header="850" w:footer="1474" w:gutter="0"/>
      <w:cols w:space="720"/>
      <w:docGrid w:type="linesAndChars" w:linePitch="580" w:charSpace="0"/>
    </w:sectPr>
  </w:body>
</w:document>
</file>

<file path=word/fontTable.xml><?xml version="1.0" encoding="utf-8"?>
<w:fonts xmlns:w="http://schemas.openxmlformats.org/wordprocessingml/2006/main">
  <w:font w:name="宋体">
    <w:charset w:val="86"/>
    <w:family w:val="auto"/>
    <w:pitch w:val="variable"/>
  </w:font>
  <w:font w:name="黑体">
    <w:charset w:val="86"/>
    <w:family w:val="auto"/>
    <w:pitch w:val="variable"/>
  </w:font>
  <w:font w:name="仿宋_GB2312">
    <w:charset w:val="86"/>
    <w:family w:val="auto"/>
    <w:pitch w:val="variable"/>
  </w:font>
  <w:font w:name="楷体_GB2312">
    <w:charset w:val="86"/>
    <w:family w:val="auto"/>
    <w:pitch w:val="variable"/>
  </w:font>
</w:fonts>
</file>

<file path=word/footer1.xml><?xml version="1.0" encoding="utf-8"?>
<w:ftr xmlns:w="http://schemas.openxmlformats.org/wordprocessingml/2006/main">
  <w:p>
    <w:pPr>
      <w:pStyle w:val="Footer"/>
      <w:ind w:rightChars="100" w:right="280"/>
      <w:jc w:val="righ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footer2.xml><?xml version="1.0" encoding="utf-8"?>
<w:ftr xmlns:w="http://schemas.openxmlformats.org/wordprocessingml/2006/main">
  <w:p>
    <w:pPr>
      <w:pStyle w:val="Footer"/>
      <w:ind w:leftChars="100" w:left="280"/>
      <w:jc w:val="lef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settings.xml><?xml version="1.0" encoding="utf-8"?>
<w:settings xmlns:w="http://schemas.openxmlformats.org/wordprocessingml/2006/main">
  <w:defaultTabStop w:val="420"/>
  <w:evenAndOddHeaders w:val="true"/>
  <w:characterSpacingControl w:val="doNotCompress"/>
  <w:updateFields w:val="true"/>
  <w:compat>
    <w:compatSetting w:name="compatibilityMode" w:uri="http://schemas.microsoft.com/office/word" w:val="15"/>
  </w:compat>
  <w:themeFontLang w:val="zh-CN" w:eastAsia="zh-CN"/>
</w:settings>
</file>

<file path=word/styles.xml><?xml version="1.0" encoding="utf-8"?>
<w:styles xmlns:w="http://schemas.openxmlformats.org/wordprocessingml/2006/main">
  <w:docDefaults>
    <w:rPrDefault>
      <w:rPr>
        <w:rFonts w:ascii="仿宋_GB2312" w:hAnsi="仿宋_GB2312" w:eastAsia="仿宋_GB2312" w:cs="Times New Roman"/>
        <w:sz w:val="32"/>
        <w:szCs w:val="32"/>
        <w:lang w:val="zh-CN" w:eastAsia="zh-CN" w:bidi="ar-SA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</w:style>
  <w:style w:type="paragraph" w:styleId="PaperTitle">
    <w:name w:val="Paper Title"/>
    <w:basedOn w:val="Normal"/>
    <w:qFormat/>
    <w:pPr>
      <w:spacing w:before="0" w:after="0" w:line="579" w:lineRule="exact"/>
      <w:jc w:val="center"/>
    </w:pPr>
    <w:rPr>
      <w:rFonts w:ascii="宋体" w:hAnsi="宋体" w:eastAsia="宋体"/>
      <w:b/>
      <w:sz w:val="44"/>
      <w:szCs w:val="44"/>
    </w:rPr>
  </w:style>
  <w:style w:type="paragraph" w:styleId="BodyText">
    <w:name w:val="Body Text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Heading1">
    <w:name w:val="Heading 1"/>
    <w:basedOn w:val="Normal"/>
    <w:qFormat/>
    <w:pPr>
      <w:spacing w:line="240" w:lineRule="auto"/>
      <w:ind w:firstLineChars="200" w:firstLine="320"/>
      <w:jc w:val="both"/>
    </w:pPr>
    <w:rPr>
      <w:rFonts w:ascii="黑体" w:hAnsi="黑体" w:eastAsia="黑体"/>
      <w:sz w:val="32"/>
      <w:szCs w:val="32"/>
    </w:rPr>
  </w:style>
  <w:style w:type="paragraph" w:styleId="Heading2">
    <w:name w:val="Heading 2"/>
    <w:basedOn w:val="Normal"/>
    <w:qFormat/>
    <w:pPr>
      <w:spacing w:line="240" w:lineRule="auto"/>
      <w:ind w:firstLineChars="200" w:firstLine="320"/>
      <w:jc w:val="both"/>
    </w:pPr>
    <w:rPr>
      <w:rFonts w:ascii="楷体_GB2312" w:hAnsi="楷体_GB2312" w:eastAsia="楷体_GB2312"/>
      <w:sz w:val="32"/>
      <w:szCs w:val="32"/>
    </w:rPr>
  </w:style>
  <w:style w:type="paragraph" w:styleId="Heading3">
    <w:name w:val="Heading 3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Reference">
    <w:name w:val="Reference"/>
    <w:basedOn w:val="Normal"/>
    <w:pPr>
      <w:spacing w:line="240" w:lineRule="auto"/>
      <w:ind w:leftChars="200" w:left="320" w:hangingChars="200" w:hanging="320"/>
      <w:jc w:val="both"/>
    </w:pPr>
    <w:rPr>
      <w:rFonts w:ascii="仿宋_GB2312" w:hAnsi="仿宋_GB2312" w:eastAsia="仿宋_GB2312"/>
      <w:sz w:val="32"/>
      <w:szCs w:val="32"/>
    </w:rPr>
  </w:style>
  <w:style w:type="paragraph" w:styleId="Footer">
    <w:name w:val="Footer"/>
    <w:basedOn w:val="Normal"/>
    <w:pPr>
      <w:spacing w:line="240" w:lineRule="auto"/>
    </w:pPr>
    <w:rPr>
      <w:rFonts w:ascii="宋体" w:hAnsi="宋体" w:eastAsia="宋体"/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FontTable" Type="http://schemas.openxmlformats.org/officeDocument/2006/relationships/fontTable" Target="fontTable.xml"/>
<Relationship Id="rIdFooterOdd" Type="http://schemas.openxmlformats.org/officeDocument/2006/relationships/footer" Target="footer1.xml"/>
<Relationship Id="rIdFooterEven" Type="http://schemas.openxmlformats.org/officeDocument/2006/relationships/footer" Target="footer2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儿童视角下中班二十四节气项目式活动的设计与实施——以“清明”“冬至”为例</dc:title>
  <dc:creator>孙艳丽</dc:creator>
  <cp:lastModifiedBy>孙艳丽</cp:lastModifiedBy>
  <dcterms:created xsi:type="dcterms:W3CDTF">2026-10-26T12:00:00Z</dcterms:created>
  <dcterms:modified xsi:type="dcterms:W3CDTF">2026-10-26T12:00:00Z</dcterms:modified>
</cp:coreProperties>
</file>